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  <w:t xml:space="preserve">                   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Modulo per richiesta erogazione istituzioni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Pubbliche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ab/>
        <w:tab/>
        <w:tab/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</w:t>
        <w:tab/>
        <w:tab/>
        <w:tab/>
        <w:tab/>
        <w:t xml:space="preserve">   </w:t>
        <w:tab/>
        <w:t xml:space="preserve">              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Studio </w:t>
        <w:tab/>
        <w:tab/>
        <w:tab/>
        <w:tab/>
        <w:tab/>
        <w:tab/>
        <w:tab/>
        <w:tab/>
        <w:t xml:space="preserve"> Universitario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Settore Politiche dell’Istruzione, </w:t>
        <w:tab/>
        <w:tab/>
        <w:tab/>
        <w:tab/>
        <w:tab/>
        <w:tab/>
        <w:t xml:space="preserve">                                        Programmazione e Monitoraggio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delle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  <w:tab/>
        <w:tab/>
        <w:tab/>
        <w:t xml:space="preserve">                                        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ab/>
        <w:tab/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 xml:space="preserve">Avviso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 xml:space="preserve">pubblico per la presentazione di progetti a favore degli studenti ad alto potenziale cognitivo (plusdotazioni) e agli studenti a rischio ritiro sociale, attraverso interventi psicopedagogici.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>a.s.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 xml:space="preserve"> 202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>/202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hi-IN"/>
        </w:rPr>
        <w:t>6</w:t>
      </w:r>
    </w:p>
    <w:p>
      <w:pPr>
        <w:pStyle w:val="Normal"/>
        <w:bidi w:val="0"/>
        <w:jc w:val="center"/>
        <w:rPr>
          <w:rFonts w:ascii="Arial" w:hAnsi="Arial" w:eastAsia="Arial" w:cs="Arial"/>
          <w:strike w:val="false"/>
          <w:dstrike w:val="false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it-IT"/>
        </w:rPr>
        <w:t xml:space="preserve">CUP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it-IT"/>
        </w:rPr>
        <w:t>J69I25002150002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  <w:t xml:space="preserve"> 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bidi w:val="0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755 del 10/12/2025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bidi w:val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5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RICHIEDE L’EROGAZIONE DELL’ANTICIPO 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di euro 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pari al 50% del contributo assegnato</w:t>
      </w:r>
    </w:p>
    <w:p>
      <w:pPr>
        <w:pStyle w:val="BodyText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FootnoteText"/>
        <w:bidi w:val="0"/>
        <w:jc w:val="both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color w:val="000000"/>
        </w:rPr>
      </w:pPr>
      <w:r>
        <w:rPr>
          <w:color w:val="000000"/>
        </w:rPr>
        <w:br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  <w:hyperlink r:id="rId6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Normal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In caso di mancata trasmissione della presente documentazione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>(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 xml:space="preserve">entro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10 giorni dalla ricezione della pec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di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comunicazione d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el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 contributo)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Default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yperlink" Target="mailto:istruzione@cert.regione.piemonte.it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LibreOffice/7.6.6.3$Windows_X86_64 LibreOffice_project/d97b2716a9a4a2ce1391dee1765565ea469b0ae7</Application>
  <AppVersion>15.0000</AppVersion>
  <Pages>2</Pages>
  <Words>248</Words>
  <Characters>1708</Characters>
  <CharactersWithSpaces>2316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2025-12-15T14:07:54Z</dcterms:modified>
  <cp:revision>7</cp:revision>
  <dc:subject/>
  <dc:title/>
</cp:coreProperties>
</file>