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2)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la Slovacchia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ab/>
      </w:r>
    </w:p>
    <w:p>
      <w:pPr>
        <w:pStyle w:val="Normal"/>
        <w:numPr>
          <w:ilvl w:val="0"/>
          <w:numId w:val="4"/>
        </w:numPr>
        <w:suppressAutoHyphens w:val="false"/>
        <w:jc w:val="both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del documento d’identità in corso di validità;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rFonts w:ascii="Arial" w:hAnsi="Arial" w:eastAsia="Times New Roman" w:cs="sans-serif;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il curriculum vitae del traduttore sottoscritto;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rFonts w:ascii="Arial" w:hAnsi="Arial" w:eastAsia="Times New Roman" w:cs="sans-serif;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la registrazione presso il Ministero di Giustizia della Repubblica Slovacca per tradurre dalla lingua italiana alla lingua slovacca (e viceversa);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rFonts w:ascii="Arial" w:hAnsi="Arial" w:eastAsia="Times New Roman" w:cs="sans-serif;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suppressAutoHyphens w:val="false"/>
        <w:ind w:hanging="0" w:left="720"/>
        <w:jc w:val="both"/>
        <w:rPr>
          <w:rFonts w:ascii="Arial" w:hAnsi="Arial" w:eastAsia="Times New Roman" w:cs="sans-serif;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MePa:</w:t>
      </w:r>
      <w:hyperlink r:id="rId3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>https://www.acquistinretepa.it/opencms/opencms/</w:t>
        </w:r>
      </w:hyperlink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</w:t>
        <w:br/>
        <w:t xml:space="preserve">Sintel:https://www.arca.regione.lombardia.it/wps/portal/ARCA/Home/e-procurement/ piattaforma-sintel   </w:t>
      </w:r>
    </w:p>
    <w:p>
      <w:pPr>
        <w:pStyle w:val="Normal"/>
        <w:numPr>
          <w:ilvl w:val="0"/>
          <w:numId w:val="4"/>
        </w:numPr>
        <w:suppressAutoHyphens w:val="false"/>
        <w:jc w:val="both"/>
        <w:rPr>
          <w:rFonts w:ascii="Arial" w:hAnsi="Arial" w:eastAsia="Times New Roman" w:cs="sans-serif;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informativa sul trattamento dei dati personali debitamente sottoscritta.</w:t>
        <w:br/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1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1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suppressAutoHyphens w:val="false"/>
        <w:spacing w:before="0" w:after="0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 xml:space="preserve">la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Slovacchia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2" w:name="_GoBack"/>
      <w:bookmarkEnd w:id="2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numPr>
          <w:ilvl w:val="0"/>
          <w:numId w:val="2"/>
        </w:numPr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4"/>
      <w:footerReference w:type="default" r:id="rId5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Application>LibreOffice/7.6.6.3$Windows_X86_64 LibreOffice_project/d97b2716a9a4a2ce1391dee1765565ea469b0ae7</Application>
  <AppVersion>15.0000</AppVersion>
  <Pages>4</Pages>
  <Words>855</Words>
  <Characters>5800</Characters>
  <CharactersWithSpaces>6708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2025-07-04T16:07:53Z</dcterms:modified>
  <cp:revision>185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