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OJ S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56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/2026 -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193714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.03.2026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S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56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/2026 -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193714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OJ S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56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/2026 -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193714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20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.03.2026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S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56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/2026 -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193714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75"/>
        <w:gridCol w:w="4465"/>
      </w:tblGrid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Risposta: </w:t>
            </w:r>
            <w:r>
              <w:rPr>
                <w:rFonts w:eastAsia="Calibri" w:cs="Arial" w:ascii="Arial" w:hAnsi="Arial"/>
                <w:color w:val="000000"/>
                <w:w w:val="104"/>
                <w:kern w:val="0"/>
                <w:sz w:val="14"/>
                <w:szCs w:val="22"/>
                <w:lang w:val="it-IT" w:eastAsia="en-US" w:bidi="ar-SA"/>
              </w:rPr>
              <w:t xml:space="preserve"> F</w:t>
            </w:r>
            <w:r>
              <w:rPr>
                <w:rFonts w:cs="Arial" w:ascii="Arial" w:hAnsi="Arial"/>
                <w:color w:val="000000"/>
                <w:w w:val="104"/>
                <w:sz w:val="14"/>
              </w:rPr>
              <w:t>ornitura e posa in opera di serramenti e realizzazione di connessi lavori e servizi per l’adeguamento degli ingressi del nuovo complesso amministrativo istituzionale della Regione Piemonte in Torino, piazza Piemonte, 1</w:t>
            </w:r>
          </w:p>
        </w:tc>
      </w:tr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eastAsia="Calibri" w:cs="Arial" w:ascii="Arial" w:hAnsi="Arial"/>
                <w:color w:val="000000"/>
                <w:w w:val="104"/>
                <w:kern w:val="0"/>
                <w:sz w:val="14"/>
                <w:szCs w:val="22"/>
                <w:lang w:val="it-IT" w:eastAsia="en-US" w:bidi="ar-SA"/>
              </w:rPr>
              <w:t>F</w:t>
            </w:r>
            <w:r>
              <w:rPr>
                <w:rFonts w:cs="Arial" w:ascii="Arial" w:hAnsi="Arial"/>
                <w:color w:val="000000"/>
                <w:w w:val="104"/>
                <w:sz w:val="14"/>
              </w:rPr>
              <w:t>ornitura e posa in opera di serramenti e realizzazione di connessi lavori e servizi per l’adeguamento degli ingressi del nuovo complesso amministrativo istituzionale della Regione Piemonte in Torino, piazza Piemonte, 1.</w:t>
            </w:r>
          </w:p>
        </w:tc>
      </w:tr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 xml:space="preserve"> </w:t>
            </w:r>
            <w:r>
              <w:rPr>
                <w:color w:val="00000A"/>
                <w:w w:val="104"/>
                <w:sz w:val="14"/>
                <w:szCs w:val="14"/>
              </w:rPr>
              <w:t>2/2026</w:t>
            </w:r>
          </w:p>
        </w:tc>
      </w:tr>
      <w:tr>
        <w:trPr>
          <w:trHeight w:val="386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4465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Style w:val="XDocReportEmptyText"/>
                <w:rFonts w:cs="Arial" w:ascii="Arial" w:hAnsi="Arial"/>
                <w:color w:val="000000"/>
                <w:w w:val="104"/>
                <w:sz w:val="14"/>
              </w:rPr>
              <w:t>BAEAA14B21</w:t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575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4465" w:type="dxa"/>
            <w:tcBorders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Style w:val="XDocReportEmptyText"/>
                <w:rFonts w:cs="Arial" w:ascii="Arial" w:hAnsi="Arial"/>
                <w:color w:val="000000"/>
                <w:w w:val="104"/>
                <w:sz w:val="14"/>
              </w:rPr>
              <w:t>J13I25000090002</w:t>
            </w:r>
          </w:p>
        </w:tc>
      </w:tr>
      <w:tr>
        <w:trPr>
          <w:trHeight w:val="214" w:hRule="atLeast"/>
        </w:trPr>
        <w:tc>
          <w:tcPr>
            <w:tcW w:w="4575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446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446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840 w 1640880"/>
                              <a:gd name="textAreaTop" fmla="*/ 0 h 151560"/>
                              <a:gd name="textAreaBottom" fmla="*/ 15552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5240" cy="267480"/>
                          </a:xfrm>
                          <a:custGeom>
                            <a:avLst/>
                            <a:gdLst>
                              <a:gd name="textAreaLeft" fmla="*/ 0 w 1624320"/>
                              <a:gd name="textAreaRight" fmla="*/ 1628280 w 1624320"/>
                              <a:gd name="textAreaTop" fmla="*/ 0 h 151560"/>
                              <a:gd name="textAreaBottom" fmla="*/ 15552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5410" distR="114300" simplePos="0" locked="0" layoutInCell="0" allowOverlap="1" relativeHeight="98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23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2189520" y="158040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189520" y="15944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189520" y="16045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040 w 17380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1760" y="5040"/>
                            <a:ext cx="41760" cy="1728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9720"/>
                              <a:gd name="textAreaBottom" fmla="*/ 13680 h 9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205200" y="5040"/>
                            <a:ext cx="1811160" cy="17280"/>
                          </a:xfrm>
                          <a:custGeom>
                            <a:avLst/>
                            <a:gdLst>
                              <a:gd name="textAreaLeft" fmla="*/ 0 w 1026720"/>
                              <a:gd name="textAreaRight" fmla="*/ 1030680 w 1026720"/>
                              <a:gd name="textAreaTop" fmla="*/ 0 h 9720"/>
                              <a:gd name="textAreaBottom" fmla="*/ 13680 h 9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41760" y="34200"/>
                            <a:ext cx="205920" cy="720"/>
                          </a:xfrm>
                          <a:custGeom>
                            <a:avLst/>
                            <a:gdLst>
                              <a:gd name="textAreaLeft" fmla="*/ 0 w 116640"/>
                              <a:gd name="textAreaRight" fmla="*/ 120600 w 11664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41760" y="39240"/>
                            <a:ext cx="41760" cy="72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040 w 1864080"/>
                              <a:gd name="textAreaTop" fmla="*/ 0 h 360"/>
                              <a:gd name="textAreaBottom" fmla="*/ 5529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5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55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56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7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8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6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2855595" cy="2321560"/>
                      <wp:effectExtent l="0" t="0" r="0" b="0"/>
                      <wp:wrapNone/>
                      <wp:docPr id="64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5520" cy="23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t" style="position:absolute;margin-left:2.8pt;margin-top:1pt;width:224.8pt;height:182.75pt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6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6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71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7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7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78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7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8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10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88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360 w 2417400"/>
                              <a:gd name="textAreaTop" fmla="*/ 0 h 360"/>
                              <a:gd name="textAreaBottom" fmla="*/ 7372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10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7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7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1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3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4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9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60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2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6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3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4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1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2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4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5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6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3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XDocReportEmptyText">
    <w:name w:val="XDocReport_EmptyTex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Application>LibreOffice/25.2.3.2$Windows_X86_64 LibreOffice_project/bbb074479178df812d175f709636b368952c2ce3</Application>
  <AppVersion>15.0000</AppVersion>
  <Pages>19</Pages>
  <Words>7050</Words>
  <Characters>39950</Characters>
  <CharactersWithSpaces>46705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2026-03-20T07:51:00Z</dcterms:created>
  <dc:creator>sparano</dc:creator>
  <dc:description/>
  <dc:language>it-IT</dc:language>
  <cp:lastModifiedBy/>
  <dcterms:modified xsi:type="dcterms:W3CDTF">2026-03-20T09:47:55Z</dcterms:modified>
  <cp:revision>38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