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notes.xml" ContentType="application/vnd.openxmlformats-officedocument.wordprocessingml.footnotes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344170</wp:posOffset>
                </wp:positionH>
                <wp:positionV relativeFrom="paragraph">
                  <wp:posOffset>27305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OJ S 102/2026 -367193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29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.05.2026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Numero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3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dell'avviso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3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nella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2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GU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1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OJ S 102/2026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>- 367193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27.1pt;margin-top:2.15pt;width:454.9pt;height:132.75pt;mso-wrap-style:square;v-text-anchor:top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OJ S 102/2026 -367193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29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.05.2026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Numero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3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dell'avviso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3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nella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2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GU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1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OJ S 102/2026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>- 367193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82"/>
        <w:gridCol w:w="4273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 xml:space="preserve">Risposta: </w:t>
            </w:r>
            <w:r>
              <w:rPr/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w w:val="104"/>
                <w:kern w:val="0"/>
                <w:sz w:val="14"/>
                <w:szCs w:val="14"/>
                <w:lang w:val="it-IT" w:eastAsia="en-US" w:bidi="ar-SA"/>
              </w:rPr>
              <w:t>Servizi di orientamento e consulenza – Servizio di aggiornamento delle competenze degli attori e degli strumenti operativi del Sistema nell’ambito della Misura “Supporto alla qualificazione del Sistema regionale di orientamento: Competenze e Strumenti” del Programma Regionale FSE PLUS 2021/2027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w w:val="104"/>
                <w:kern w:val="0"/>
                <w:sz w:val="14"/>
                <w:szCs w:val="14"/>
                <w:lang w:val="it-IT" w:eastAsia="en-US" w:bidi="ar-SA"/>
              </w:rPr>
              <w:t>Servizi di orientamento e consulenza – Servizio di aggiornamento delle competenze degli attori e degli strumenti operativi del Sistema nell’ambito della Misura “Supporto alla qualificazione del Sistema regionale di orientamento: Competenze e Strumenti” del Programma Regionale FSE PLUS 2021/2027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4/2026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BBD63E3CE9</w:t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J69I25002250009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82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273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2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73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79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5560 w 1640880"/>
                              <a:gd name="textAreaTop" fmla="*/ 0 h 151560"/>
                              <a:gd name="textAreaBottom" fmla="*/ 15624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3800" cy="267480"/>
                          </a:xfrm>
                          <a:custGeom>
                            <a:avLst/>
                            <a:gdLst>
                              <a:gd name="textAreaLeft" fmla="*/ 0 w 1623600"/>
                              <a:gd name="textAreaRight" fmla="*/ 1628280 w 1623600"/>
                              <a:gd name="textAreaTop" fmla="*/ 0 h 151560"/>
                              <a:gd name="textAreaBottom" fmla="*/ 15624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bidi w:val="0"/>
        <w:spacing w:lineRule="auto" w:line="240" w:before="120" w:after="120"/>
        <w:ind w:hanging="0" w:left="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 xml:space="preserve">L'articolo 57, paragrafo 1, della direttiva 2014/24/UE stabilisce i seguenti motivi di esclusione (Articolo </w:t>
      </w:r>
      <w:r>
        <w:rPr>
          <w:rFonts w:eastAsia="Arial" w:cs="Arial" w:ascii="Arial" w:hAnsi="Arial"/>
          <w:sz w:val="14"/>
          <w:szCs w:val="14"/>
        </w:rPr>
        <w:t xml:space="preserve">94, comma 1, </w:t>
      </w:r>
      <w:r>
        <w:rPr>
          <w:rFonts w:eastAsia="Arial" w:cs="Arial" w:ascii="Arial" w:hAnsi="Arial"/>
          <w:color w:val="000000"/>
          <w:sz w:val="14"/>
          <w:szCs w:val="14"/>
        </w:rPr>
        <w:t>del Codice):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Partecipazione a un’organizzazione criminale 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2"/>
      </w:r>
      <w:r>
        <w:rPr>
          <w:rFonts w:eastAsia="Arial" w:cs="Arial" w:ascii="Arial" w:hAnsi="Arial"/>
          <w:color w:val="000000"/>
          <w:sz w:val="14"/>
          <w:szCs w:val="14"/>
        </w:rPr>
        <w:t>)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Corruzione(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3"/>
      </w:r>
      <w:r>
        <w:rPr>
          <w:rFonts w:eastAsia="Arial" w:cs="Arial" w:ascii="Arial" w:hAnsi="Arial"/>
          <w:color w:val="000000"/>
          <w:sz w:val="14"/>
          <w:szCs w:val="14"/>
        </w:rPr>
        <w:t>)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Frode(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4"/>
      </w:r>
      <w:r>
        <w:rPr>
          <w:rFonts w:eastAsia="Arial" w:cs="Arial" w:ascii="Arial" w:hAnsi="Arial"/>
          <w:color w:val="000000"/>
          <w:sz w:val="14"/>
          <w:szCs w:val="14"/>
        </w:rPr>
        <w:t>);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Reati terroristici o reati connessi alle attività terroristiche 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5"/>
      </w:r>
      <w:r>
        <w:rPr>
          <w:rFonts w:eastAsia="Arial" w:cs="Arial" w:ascii="Arial" w:hAnsi="Arial"/>
          <w:color w:val="000000"/>
          <w:sz w:val="14"/>
          <w:szCs w:val="14"/>
        </w:rPr>
        <w:t>);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bookmarkStart w:id="0" w:name="_gjdgxs"/>
      <w:bookmarkEnd w:id="0"/>
      <w:r>
        <w:rPr>
          <w:rFonts w:eastAsia="Arial" w:cs="Arial" w:ascii="Arial" w:hAnsi="Arial"/>
          <w:color w:val="000000"/>
          <w:sz w:val="14"/>
          <w:szCs w:val="14"/>
        </w:rPr>
        <w:t>Riciclaggio di proventi di attività criminose o finanziamento al terrorismo 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6"/>
      </w:r>
      <w:r>
        <w:rPr>
          <w:rFonts w:eastAsia="Arial" w:cs="Arial" w:ascii="Arial" w:hAnsi="Arial"/>
          <w:color w:val="000000"/>
          <w:sz w:val="14"/>
          <w:szCs w:val="14"/>
        </w:rPr>
        <w:t>);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850" w:left="85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Lavoro minorile e altre forme di tratta di esseri umani(</w:t>
      </w:r>
      <w:r>
        <w:rPr>
          <w:rStyle w:val="FootnoteReference"/>
          <w:rFonts w:eastAsia="Arial" w:cs="Arial" w:ascii="Arial" w:hAnsi="Arial"/>
          <w:color w:val="000000"/>
          <w:sz w:val="14"/>
          <w:szCs w:val="14"/>
          <w:vertAlign w:val="superscript"/>
        </w:rPr>
        <w:footnoteReference w:id="7"/>
      </w:r>
      <w:r>
        <w:rPr>
          <w:rFonts w:eastAsia="Arial" w:cs="Arial" w:ascii="Arial" w:hAnsi="Arial"/>
          <w:color w:val="000000"/>
          <w:sz w:val="14"/>
          <w:szCs w:val="14"/>
        </w:rPr>
        <w:t>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-142" w:leader="none"/>
        </w:tabs>
        <w:bidi w:val="0"/>
        <w:spacing w:lineRule="auto" w:line="240" w:before="120" w:after="120"/>
        <w:ind w:hanging="0" w:left="0" w:right="0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CODICE</w:t>
      </w:r>
    </w:p>
    <w:p>
      <w:pPr>
        <w:pStyle w:val="Normal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BFBFBF"/>
        <w:tabs>
          <w:tab w:val="clear" w:pos="720"/>
          <w:tab w:val="left" w:pos="426" w:leader="none"/>
        </w:tabs>
        <w:bidi w:val="0"/>
        <w:spacing w:lineRule="auto" w:line="240" w:before="120" w:after="120"/>
        <w:ind w:hanging="426" w:left="426" w:right="0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color w:val="000000"/>
          <w:sz w:val="14"/>
          <w:szCs w:val="14"/>
        </w:rPr>
        <w:t>Ogni altro delitto da cui derivi, quale pena accessoria, l'incapacità di contrattare con la pubblica amministrazione (</w:t>
      </w:r>
      <w:r>
        <w:rPr>
          <w:rFonts w:eastAsia="Arial" w:cs="Arial" w:ascii="Arial" w:hAnsi="Arial"/>
          <w:sz w:val="14"/>
          <w:szCs w:val="14"/>
        </w:rPr>
        <w:t xml:space="preserve">articolo 94 comma 1, lettera h) del Codice); </w:t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p>
      <w:pPr>
        <w:pStyle w:val="Heading4"/>
        <w:spacing w:before="134" w:after="0"/>
        <w:rPr>
          <w:sz w:val="7"/>
        </w:rPr>
      </w:pPr>
      <w:r>
        <w:rPr>
          <w:sz w:val="7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23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2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2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3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3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34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5" cy="2185670"/>
                      <wp:effectExtent l="0" t="0" r="0" b="0"/>
                      <wp:docPr id="37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21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0pt;margin-top:-172.15pt;width:0pt;height:172.05pt;mso-wrap-style:none;v-text-anchor:middle;mso-position-vertical:top">
                      <v:fill o:detectmouseclick="t" type="solid" color2="#0b0202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38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41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44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45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48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51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52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53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56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footnotePr>
            <w:numFmt w:val="decimal"/>
          </w:footnotePr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10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61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62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3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4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5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6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7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9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0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160 w 231948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2080 w 2417400"/>
                              <a:gd name="textAreaTop" fmla="*/ 0 h 360"/>
                              <a:gd name="textAreaBottom" fmla="*/ 29491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5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footnotePr>
        <w:numFmt w:val="decimal"/>
      </w:footnotePr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5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5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4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5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6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340995" cy="152400"/>
              <wp:effectExtent l="0" t="0" r="0" b="0"/>
              <wp:wrapNone/>
              <wp:docPr id="3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cs="Microsoft Sans Serif" w:ascii="Calibri" w:hAnsi="Calibri"/>
                              <w:color w:val="00000A"/>
                              <w:w w:val="102"/>
                              <w:kern w:val="0"/>
                              <w:sz w:val="19"/>
                              <w:szCs w:val="22"/>
                              <w:lang w:val="it-IT" w:eastAsia="en-US" w:bidi="ar-SA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26.8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cs="Microsoft Sans Serif" w:ascii="Calibri" w:hAnsi="Calibri"/>
                        <w:color w:val="00000A"/>
                        <w:w w:val="102"/>
                        <w:kern w:val="0"/>
                        <w:sz w:val="19"/>
                        <w:szCs w:val="22"/>
                        <w:lang w:val="it-IT" w:eastAsia="en-US" w:bidi="ar-SA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340995" cy="152400"/>
              <wp:effectExtent l="0" t="0" r="0" b="0"/>
              <wp:wrapNone/>
              <wp:docPr id="33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cs="Microsoft Sans Serif" w:ascii="Calibri" w:hAnsi="Calibri"/>
                              <w:color w:val="00000A"/>
                              <w:w w:val="102"/>
                              <w:kern w:val="0"/>
                              <w:sz w:val="19"/>
                              <w:szCs w:val="22"/>
                              <w:lang w:val="it-IT" w:eastAsia="en-US" w:bidi="ar-SA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26.8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cs="Microsoft Sans Serif" w:ascii="Calibri" w:hAnsi="Calibri"/>
                        <w:color w:val="00000A"/>
                        <w:w w:val="102"/>
                        <w:kern w:val="0"/>
                        <w:sz w:val="19"/>
                        <w:szCs w:val="22"/>
                        <w:lang w:val="it-IT" w:eastAsia="en-US" w:bidi="ar-SA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35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36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39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0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2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3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6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7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49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0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4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5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16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8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0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>()</w:t>
      </w:r>
      <w:r>
        <w:rPr>
          <w:rFonts w:eastAsia="Arial" w:cs="Arial" w:ascii="Arial" w:hAnsi="Arial"/>
          <w:sz w:val="12"/>
          <w:szCs w:val="12"/>
        </w:rPr>
        <w:t xml:space="preserve"> </w:t>
      </w:r>
      <w:r>
        <w:rPr>
          <w:rFonts w:eastAsia="Arial" w:cs="Arial" w:ascii="Arial" w:hAnsi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3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 xml:space="preserve">()  </w:t>
      </w:r>
      <w:r>
        <w:rPr>
          <w:rFonts w:eastAsia="Arial" w:cs="Arial" w:ascii="Arial" w:hAnsi="Arial"/>
          <w:sz w:val="12"/>
          <w:szCs w:val="12"/>
        </w:rPr>
        <w:t xml:space="preserve"> </w:t>
      </w:r>
      <w:r>
        <w:rPr>
          <w:rFonts w:eastAsia="Arial" w:cs="Arial" w:ascii="Arial" w:hAnsi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4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>( )</w:t>
      </w:r>
      <w:r>
        <w:rPr>
          <w:rFonts w:eastAsia="Arial" w:cs="Arial" w:ascii="Arial" w:hAnsi="Arial"/>
          <w:sz w:val="12"/>
          <w:szCs w:val="12"/>
        </w:rPr>
        <w:t xml:space="preserve">  </w:t>
      </w:r>
      <w:r>
        <w:rPr>
          <w:rFonts w:eastAsia="Arial" w:cs="Arial" w:ascii="Arial" w:hAnsi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5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>()</w:t>
      </w:r>
      <w:r>
        <w:rPr>
          <w:rFonts w:eastAsia="Arial" w:cs="Arial" w:ascii="Arial" w:hAnsi="Arial"/>
          <w:sz w:val="12"/>
          <w:szCs w:val="12"/>
        </w:rPr>
        <w:t xml:space="preserve"> </w:t>
      </w:r>
      <w:r>
        <w:rPr>
          <w:rFonts w:eastAsia="Arial" w:cs="Arial" w:ascii="Arial" w:hAnsi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6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>()</w:t>
      </w:r>
      <w:r>
        <w:rPr>
          <w:rFonts w:eastAsia="Arial" w:cs="Arial" w:ascii="Arial" w:hAnsi="Arial"/>
          <w:sz w:val="12"/>
          <w:szCs w:val="12"/>
        </w:rPr>
        <w:t xml:space="preserve"> </w:t>
      </w:r>
      <w:r>
        <w:rPr>
          <w:rFonts w:eastAsia="Arial" w:cs="Arial" w:ascii="Arial" w:hAnsi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>
        <w:rPr>
          <w:rFonts w:eastAsia="Arial" w:cs="Arial" w:ascii="Arial" w:hAnsi="Arial"/>
          <w:i/>
          <w:color w:val="000000"/>
          <w:sz w:val="12"/>
          <w:szCs w:val="12"/>
        </w:rPr>
        <w:t>(GU L 309 del 25.11.2005, pag. 15).</w:t>
      </w:r>
    </w:p>
  </w:footnote>
  <w:footnote w:id="7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2"/>
          <w:szCs w:val="12"/>
          <w:vertAlign w:val="superscript"/>
        </w:rPr>
        <w:tab/>
        <w:t>()</w:t>
      </w:r>
      <w:r>
        <w:rPr>
          <w:rFonts w:eastAsia="Arial" w:cs="Arial" w:ascii="Arial" w:hAnsi="Arial"/>
          <w:sz w:val="12"/>
          <w:szCs w:val="12"/>
        </w:rPr>
        <w:t xml:space="preserve">  </w:t>
      </w:r>
      <w:r>
        <w:rPr>
          <w:rFonts w:eastAsia="Arial" w:cs="Arial" w:ascii="Arial" w:hAnsi="Arial"/>
          <w:i/>
          <w:sz w:val="12"/>
          <w:szCs w:val="12"/>
        </w:rPr>
        <w:t>Q</w:t>
      </w:r>
      <w:r>
        <w:rPr>
          <w:rFonts w:eastAsia="Arial" w:cs="Arial" w:ascii="Arial" w:hAnsi="Arial"/>
          <w:i/>
          <w:color w:val="00000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vittime, e che sostituisce la decisione quadro del Consiglio 2002/629/GAI (GU L 101 del 15.4.2011, pag. 1).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footnotes" Target="footnotes.xm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Application>LibreOffice/25.2.3.2$Windows_X86_64 LibreOffice_project/bbb074479178df812d175f709636b368952c2ce3</Application>
  <AppVersion>15.0000</AppVersion>
  <Pages>30</Pages>
  <Words>7353</Words>
  <Characters>41731</Characters>
  <CharactersWithSpaces>48786</CharactersWithSpaces>
  <Paragraphs>644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2026-07-07T16:05:29Z</dcterms:modified>
  <cp:revision>45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