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Allegato E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Century Gothic" w:cs="Century Gothic" w:ascii="Times New Roman" w:hAnsi="Times New Roman"/>
          <w:b/>
          <w:iCs/>
          <w:color w:val="000000"/>
          <w:sz w:val="24"/>
          <w:szCs w:val="24"/>
        </w:rPr>
        <w:t>DICHIARAZIONE DI INTENTI PER LA PARTECIPAZIONE ALLA PARTNERSHIP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entury Gothic" w:cs="Century Gothic"/>
          <w:b/>
          <w:iCs/>
          <w:color w:val="000000"/>
          <w:sz w:val="24"/>
          <w:szCs w:val="24"/>
        </w:rPr>
      </w:pPr>
      <w:r>
        <w:rPr>
          <w:rFonts w:eastAsia="Century Gothic" w:cs="Century Gothic" w:ascii="Times New Roman" w:hAnsi="Times New Roman"/>
          <w:b/>
          <w:i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(La dichiarazione deve essere resa da ciascun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Partner </w:t>
      </w:r>
      <w:r>
        <w:rPr>
          <w:rFonts w:ascii="Times New Roman" w:hAnsi="Times New Roman"/>
          <w:iCs/>
          <w:color w:val="000000"/>
          <w:sz w:val="24"/>
          <w:szCs w:val="24"/>
        </w:rPr>
        <w:t>- Ente diverso dal soggetto Capofila di rete)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Il/La sottoscritto/a </w:t>
      </w:r>
      <w:r>
        <w:rPr>
          <w:rFonts w:eastAsia="Century Gothic" w:cs="Century Gothic" w:ascii="Times New Roman" w:hAnsi="Times New Roman"/>
          <w:sz w:val="24"/>
          <w:szCs w:val="24"/>
        </w:rPr>
        <w:t xml:space="preserve">______     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 nato/a a </w:t>
      </w:r>
      <w:r>
        <w:rPr>
          <w:rFonts w:eastAsia="Century Gothic" w:cs="Century Gothic" w:ascii="Times New Roman" w:hAnsi="Times New Roman"/>
          <w:sz w:val="24"/>
          <w:szCs w:val="24"/>
        </w:rPr>
        <w:t xml:space="preserve">______     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il   </w:t>
      </w:r>
      <w:r>
        <w:rPr>
          <w:rFonts w:eastAsia="Century Gothic" w:cs="Century Gothic" w:ascii="Times New Roman" w:hAnsi="Times New Roman"/>
          <w:sz w:val="24"/>
          <w:szCs w:val="24"/>
        </w:rPr>
        <w:t xml:space="preserve"> ______    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 residente a </w:t>
      </w:r>
      <w:r>
        <w:rPr>
          <w:rFonts w:eastAsia="Century Gothic" w:cs="Century Gothic" w:ascii="Times New Roman" w:hAnsi="Times New Roman"/>
          <w:sz w:val="24"/>
          <w:szCs w:val="24"/>
        </w:rPr>
        <w:t xml:space="preserve">  ______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(</w:t>
      </w:r>
      <w:r>
        <w:rPr>
          <w:rFonts w:eastAsia="Century Gothic" w:cs="Century Gothic" w:ascii="Times New Roman" w:hAnsi="Times New Roman"/>
          <w:sz w:val="24"/>
          <w:szCs w:val="24"/>
        </w:rPr>
        <w:t>______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) CAP </w:t>
      </w:r>
      <w:r>
        <w:rPr>
          <w:rFonts w:eastAsia="Century Gothic" w:cs="Century Gothic" w:ascii="Times New Roman" w:hAnsi="Times New Roman"/>
          <w:sz w:val="24"/>
          <w:szCs w:val="24"/>
        </w:rPr>
        <w:t>______    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via </w:t>
      </w:r>
      <w:r>
        <w:rPr>
          <w:rFonts w:eastAsia="Century Gothic" w:cs="Century Gothic" w:ascii="Times New Roman" w:hAnsi="Times New Roman"/>
          <w:sz w:val="24"/>
          <w:szCs w:val="24"/>
        </w:rPr>
        <w:t>______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Century Gothic" w:cs="Century Gothic" w:ascii="Times New Roman" w:hAnsi="Times New Roman"/>
          <w:sz w:val="24"/>
          <w:szCs w:val="24"/>
        </w:rPr>
        <w:t xml:space="preserve">     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n. </w:t>
      </w:r>
      <w:r>
        <w:rPr>
          <w:rFonts w:eastAsia="Century Gothic" w:cs="Century Gothic" w:ascii="Times New Roman" w:hAnsi="Times New Roman"/>
          <w:sz w:val="24"/>
          <w:szCs w:val="24"/>
        </w:rPr>
        <w:t>  ______    i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n qualità di legale rappresentante/soggetto delegato con potere di firma dell’Ente Partner (</w:t>
      </w:r>
      <w:r>
        <w:rPr>
          <w:rFonts w:eastAsia="Century Gothic" w:cs="Century Gothic" w:ascii="Times New Roman" w:hAnsi="Times New Roman"/>
          <w:i/>
          <w:color w:val="000000"/>
          <w:sz w:val="24"/>
          <w:szCs w:val="24"/>
        </w:rPr>
        <w:t>denominazione Ente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):</w:t>
      </w:r>
      <w:r>
        <w:rPr>
          <w:rFonts w:eastAsia="Century Gothic" w:cs="Century Gothic" w:ascii="Times New Roman" w:hAnsi="Times New Roman"/>
          <w:sz w:val="24"/>
          <w:szCs w:val="24"/>
        </w:rPr>
        <w:t xml:space="preserve"> ______   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 con sede legale nel Comune di </w:t>
      </w:r>
      <w:r>
        <w:rPr>
          <w:rFonts w:eastAsia="Century Gothic" w:cs="Century Gothic" w:ascii="Times New Roman" w:hAnsi="Times New Roman"/>
          <w:sz w:val="24"/>
          <w:szCs w:val="24"/>
        </w:rPr>
        <w:t>  ______ 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(</w:t>
      </w:r>
      <w:r>
        <w:rPr>
          <w:rFonts w:eastAsia="Century Gothic" w:cs="Century Gothic" w:ascii="Times New Roman" w:hAnsi="Times New Roman"/>
          <w:sz w:val="24"/>
          <w:szCs w:val="24"/>
        </w:rPr>
        <w:t>______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) CAP </w:t>
      </w:r>
      <w:r>
        <w:rPr>
          <w:rFonts w:eastAsia="Century Gothic" w:cs="Century Gothic" w:ascii="Times New Roman" w:hAnsi="Times New Roman"/>
          <w:sz w:val="24"/>
          <w:szCs w:val="24"/>
        </w:rPr>
        <w:t>______    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via </w:t>
      </w:r>
      <w:r>
        <w:rPr>
          <w:rFonts w:eastAsia="Century Gothic" w:cs="Century Gothic" w:ascii="Times New Roman" w:hAnsi="Times New Roman"/>
          <w:sz w:val="24"/>
          <w:szCs w:val="24"/>
        </w:rPr>
        <w:t xml:space="preserve">______     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n. </w:t>
      </w:r>
      <w:r>
        <w:rPr>
          <w:rFonts w:eastAsia="Century Gothic" w:cs="Century Gothic" w:ascii="Times New Roman" w:hAnsi="Times New Roman"/>
          <w:sz w:val="24"/>
          <w:szCs w:val="24"/>
        </w:rPr>
        <w:t xml:space="preserve"> ______    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CF</w:t>
      </w:r>
      <w:r>
        <w:rPr>
          <w:rFonts w:eastAsia="Century Gothic" w:cs="Century Gothic" w:ascii="Times New Roman" w:hAnsi="Times New Roman"/>
          <w:sz w:val="24"/>
          <w:szCs w:val="24"/>
        </w:rPr>
        <w:t xml:space="preserve"> ______    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 Partita IVA </w:t>
      </w:r>
      <w:r>
        <w:rPr>
          <w:rFonts w:eastAsia="Century Gothic" w:cs="Century Gothic" w:ascii="Times New Roman" w:hAnsi="Times New Roman"/>
          <w:sz w:val="24"/>
          <w:szCs w:val="24"/>
        </w:rPr>
        <w:t>   ______  </w:t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Indirizzo mail: </w:t>
      </w:r>
      <w:r>
        <w:rPr>
          <w:rFonts w:eastAsia="Century Gothic" w:cs="Century Gothic" w:ascii="Times New Roman" w:hAnsi="Times New Roman"/>
          <w:sz w:val="24"/>
          <w:szCs w:val="24"/>
        </w:rPr>
        <w:t>______     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entury Gothic" w:cs="Century Gothic"/>
          <w:b/>
          <w:smallCaps/>
          <w:color w:val="000000"/>
          <w:sz w:val="24"/>
          <w:szCs w:val="24"/>
        </w:rPr>
      </w:pPr>
      <w:r>
        <w:rPr>
          <w:rFonts w:eastAsia="Century Gothic" w:cs="Century Gothic" w:ascii="Times New Roman" w:hAnsi="Times New Roman"/>
          <w:b/>
          <w:smallCap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Century Gothic" w:cs="Century Gothic" w:ascii="Times New Roman" w:hAnsi="Times New Roman"/>
          <w:b/>
          <w:color w:val="000000"/>
          <w:sz w:val="24"/>
          <w:szCs w:val="24"/>
        </w:rPr>
        <w:t xml:space="preserve">DICHIARA </w:t>
      </w:r>
    </w:p>
    <w:p>
      <w:pPr>
        <w:pStyle w:val="ListParagraph"/>
        <w:spacing w:lineRule="auto" w:line="360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l’intenzione di aderire al partenariato per la realizzazione del Progetto “ ______ ” (inserire titolo), in risposta alla procedura ad evidenza pubblica finalizzata all’individuazione di soggetti partner di Regione Piemonte per la realizzazione di </w:t>
      </w:r>
      <w:r>
        <w:rPr>
          <w:rFonts w:eastAsia="Century Gothic" w:cs="Times New Roman" w:ascii="Times New Roman" w:hAnsi="Times New Roman"/>
          <w:b/>
          <w:color w:val="000000"/>
          <w:sz w:val="24"/>
          <w:szCs w:val="24"/>
        </w:rPr>
        <w:t xml:space="preserve">misure di sostegno alla residenzialita' temporanea e di accompagnamento dell’utenza dei soggetti in uscita e in esecuzione penale esterna 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;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di essere a conoscenza dei contenuti del progetto stesso e di accettarli integralmente e di identificare quale Ente Capofila: </w:t>
      </w:r>
      <w:r>
        <w:rPr>
          <w:rFonts w:eastAsia="Century Gothic" w:cs="Century Gothic" w:ascii="Times New Roman" w:hAnsi="Times New Roman"/>
          <w:sz w:val="24"/>
          <w:szCs w:val="24"/>
        </w:rPr>
        <w:t>______</w:t>
      </w: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; 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di possedere i requisiti previsti dalla normativa vigente per accedere a finanziamenti pubblici e per la realizzazione del relativo progetto di intervento presentato.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In particolare, per i soggetti privati: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hanging="360" w:left="902" w:right="51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di non essere stato condannato con sentenza definitiva o decreto penale di condanna divenuto irrevocabile o sentenza di applicazione della pena su richiesta ai sensi dell'articolo 444 del codice di procedura penale per uno dei seguenti reati: 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20" w:after="0"/>
        <w:ind w:hanging="360" w:left="1440" w:right="99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delitti, consumati o tentati, di cui agli articoli 416, 416-bis del codice penale ovvero delitti commessi avvalendosi delle condizioni previste dal predetto articolo 416-bis ovvero al fine di agevolare l'attività delle associazioni previste dallo stesso articolo, nonché per i delitti, consumati o tentati, previsti dall'articolo 74 del decreto del Presidente della Repubblica 9 ottobre 1990, n. 309, dall’articolo 291-quater del decreto del Presidente della Repubblica 23 gennaio 1973, n. 43 e dall'articolo 260 del decreto legislativo 3 aprile 2006, n. 152, in quanto riconducibili alla partecipazione a un'organizzazione criminale, quale definita all'articolo 2 della decisione quadro 2008/841/GAI del Consiglio; 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ind w:hanging="360" w:left="1440" w:right="99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delitti, consumati o tentati, di cui agli articoli 317, 318, 319, 319-ter, 319-quater, 320, 321, 322, 322-bis, 346-bis, 353, 353-bis, 354, 355 e 356 del codice penale nonché all’articolo 2635 del codice civile; 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ind w:hanging="360" w:left="1440" w:right="99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frode ai sensi dell'articolo 1 della convenzione relativa alla tutela degli interessi finanziari delle Comunità europee; 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ind w:hanging="360" w:left="1440" w:right="99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delitti, consumati o tentati, commessi con finalità di terrorismo, anche internazionale, e di eversione dell'ordine costituzionale reati terroristici o reati connessi alle attività terroristiche; 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ind w:hanging="360" w:left="1440" w:right="99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delitti di cui agli articoli 648-bis, 648-ter e 648-ter.1 del codice penale, riciclaggio di proventi di attività criminose o finanziamento del terrorismo, quali definiti all'articolo 1 del decreto legislativo 22 giugno 2007, n. 109 e successive modificazioni; 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ind w:hanging="360" w:left="1440" w:right="99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sfruttamento del lavoro minorile e altre forme di tratta di esseri umani definite con il decreto legislativo 4 marzo 2014, n. 24; </w:t>
      </w:r>
    </w:p>
    <w:p>
      <w:pPr>
        <w:pStyle w:val="Normal"/>
        <w:widowControl w:val="false"/>
        <w:numPr>
          <w:ilvl w:val="0"/>
          <w:numId w:val="2"/>
        </w:numPr>
        <w:spacing w:lineRule="auto" w:line="360" w:before="0" w:after="0"/>
        <w:ind w:hanging="360" w:left="1440" w:right="99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ogni altro delitto da cui derivi, quale pena accessoria, l'incapacità di contrattare con la pubblica amministrazione.</w:t>
      </w:r>
    </w:p>
    <w:p>
      <w:pPr>
        <w:pStyle w:val="Normal"/>
        <w:spacing w:lineRule="auto" w:line="360" w:before="0" w:after="0"/>
        <w:ind w:left="993" w:right="99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Se la sentenza o il decreto sono stati emessi nei confronti: del titolare o del direttore tecnico, se si tratta di impresa individuale; di un socio o del direttore tecnico, se si tratta di società in nome collettivo; dei soci accomandatari o del direttore tecnico, se si tratta di società in accomandita semplice; dei membri del consiglio di amministrazione od equivalente cui sia stata conferita la legale rappresentanza, di direzione o di vigilanza o dei soggetti muniti di poteri di rappresentanza, di direzione o di controllo, del direttore tecnico o del socio unico persona fisica, ovvero del socio di maggioranza in caso di società, associazioni o fondazioni con meno di quattro soci, se si tratta di altro tipo di società, organizzazione o consorzio. In ogni caso l'esclusione e il divieto operano anche nei confronti dei soggetti cessati dalla carica nell’anno antecedente la data di pubblicazione del bando, qualora il richiedente/beneficiario non dimostri che vi sia stata completa ed effettiva dissociazione della condotta penalmente sanzionata (l'esclusione non opera quando il reato è stato depenalizzato ovvero quando è intervenuta la riabilitazione ovvero quando il reato è stato dichiarato estinto dopo la condanna ovvero in caso di revoca della condanna medesima);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hanging="360" w:left="902" w:right="51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di non essere in una delle ipotesi previste dall'articolo 67 del decreto legislativo 6 settembre 2011, n. 159 o di un tentativo di infiltrazione mafiosa di cui all'articolo 84, comma 4, del medesimo decreto. Resta fermo quanto previsto dagli articoli 88, comma 4-bis, e 92, commi 2 e 3, del decreto legislativo 6 settembre 2011, n. 159, con riferimento rispettivamente alle comunicazioni antimafia e alle informazioni antimafia;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hanging="360" w:left="902" w:right="51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che non sono state commesse violazioni gravi, definitivamente accertate, rispetto agli obblighi relativi al pagamento delle imposte e tasse o dei contributi previdenziali, secondo la legislazione italiana o quella dello Stato in cui è stabilito. Costituiscono gravi violazioni quelle che comportano un omesso pagamento di imposte e tasse superiore all'importo di cui all'articolo 48-bis, commi 1 e 2-bis, del decreto del Presidente della Repubblica 29 settembre 1973, n. 602 (costituiscono violazioni definitivamente accertate quelle contenute in sentenze o atti amministrativi non più soggetti ad impugnazione. Costituiscono gravi violazioni in materia contributiva e previdenziale quelle ostative al rilascio del documento unico di regolarità contributiva (DURC), di cui all’articolo 8 del decreto del Ministero del lavoro e delle politiche sociali 30 gennaio 2015, pubblicato sulla Gazzetta Ufficiale n. 125 del 1° giugno 2015). Tale inammissibilità non si applica quando il richiedente ha ottemperato ai suoi obblighi pagando o impegnandosi in modo vincolante a pagare le imposte o i contributi previdenziali dovuti, compresi eventuali interessi o multe, purché il pagamento o l'impegno siano stati formalizzati prima della scadenza del termine per la presentazione della domanda di contributo; 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di essere a conoscenza delle disposizioni e dei contenuti dell’Avviso e degli allegati e di accettarli integralmente; 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di non aver ottenuto, per il progetto citato, alcun contributo pubblico (europeo, nazionale, regionale, ecc.);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di possedere capacità tecniche adeguate alla partecipazione alla realizzazione del progetto;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di impegnarsi a: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hanging="360" w:left="902" w:right="51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predisporre un sistema di contabilità separata o una codificazione contabile adeguata a tutte le transazioni relative al progetto; 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hanging="360" w:left="902" w:right="51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accettare le indagini tecniche ed i controlli da parte degli incaricati preposti alle attività di verifica delle autorità competenti ai fini della valutazione dell’intervento oggetto della domanda stessa;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hanging="360" w:left="902" w:right="51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fornire dati e informazioni richiesti ai fini del controllo e valutazione dell’intervento oggetto della domanda stessa;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di rendere tutte le precedenti dichiarazioni ai sensi dell’articolo 47 del D.P.R. 28/12/2000 n. 445, e di essere consapevole delle responsabilità penali cui può andare incontro in caso di dichiarazione mendace o di esibizione di atto falso o contenente dati non rispondenti a verità, ai sensi dell’articolo 76 del D.P.R. 28/12/2000 n.445.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>Data e luogo</w:t>
      </w:r>
      <w:r>
        <w:rPr>
          <w:rFonts w:eastAsia="Century Gothic" w:cs="Century Gothic" w:ascii="Times New Roman" w:hAnsi="Times New Roman"/>
          <w:sz w:val="24"/>
          <w:szCs w:val="24"/>
        </w:rPr>
        <w:t>   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40" w:before="1" w:after="0"/>
        <w:ind w:left="5050" w:right="495"/>
        <w:jc w:val="right"/>
        <w:rPr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  <w:t xml:space="preserve">Il Legale Rappresentante </w:t>
      </w:r>
    </w:p>
    <w:p>
      <w:pPr>
        <w:pStyle w:val="Normal"/>
        <w:widowControl w:val="false"/>
        <w:spacing w:lineRule="auto" w:line="240" w:before="1" w:after="0"/>
        <w:ind w:left="5050" w:right="495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199" w:before="0" w:after="0"/>
        <w:rPr>
          <w:rFonts w:ascii="Times New Roman" w:hAnsi="Times New Roman" w:eastAsia="Century Gothic" w:cs="Century Gothic"/>
          <w:color w:val="000000"/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199" w:before="0" w:after="0"/>
        <w:rPr>
          <w:rFonts w:ascii="Times New Roman" w:hAnsi="Times New Roman" w:eastAsia="Century Gothic" w:cs="Century Gothic"/>
          <w:color w:val="000000"/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199" w:before="0" w:after="0"/>
        <w:rPr>
          <w:rFonts w:ascii="Times New Roman" w:hAnsi="Times New Roman" w:eastAsia="Century Gothic" w:cs="Century Gothic"/>
          <w:color w:val="000000"/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199" w:before="0" w:after="0"/>
        <w:rPr>
          <w:rFonts w:ascii="Times New Roman" w:hAnsi="Times New Roman" w:eastAsia="Century Gothic" w:cs="Century Gothic"/>
          <w:color w:val="000000"/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199" w:before="0" w:after="0"/>
        <w:rPr>
          <w:rFonts w:ascii="Times New Roman" w:hAnsi="Times New Roman" w:eastAsia="Century Gothic" w:cs="Century Gothic"/>
          <w:color w:val="000000"/>
          <w:sz w:val="24"/>
          <w:szCs w:val="24"/>
        </w:rPr>
      </w:pPr>
      <w:r>
        <w:rPr>
          <w:rFonts w:eastAsia="Century Gothic" w:cs="Century Gothic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199" w:before="0" w:after="0"/>
        <w:jc w:val="both"/>
        <w:rPr>
          <w:sz w:val="24"/>
          <w:szCs w:val="24"/>
        </w:rPr>
      </w:pPr>
      <w:r>
        <w:rPr>
          <w:rFonts w:eastAsia="Century Gothic" w:cs="Century Gothic" w:ascii="Times New Roman" w:hAnsi="Times New Roman"/>
          <w:i/>
          <w:iCs/>
          <w:color w:val="000000"/>
          <w:sz w:val="24"/>
          <w:szCs w:val="24"/>
        </w:rPr>
        <w:t xml:space="preserve">In caso di firma autografa allegare copia del documento di identità del Legale Rappresentante, ovvero del soggetto delegato, dell’Ente Partner </w:t>
      </w:r>
    </w:p>
    <w:p>
      <w:pPr>
        <w:pStyle w:val="Normal"/>
        <w:spacing w:before="0" w:after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1" w:top="1403" w:footer="0" w:bottom="1418"/>
      <w:pgNumType w:start="1"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w Cen MT">
    <w:charset w:val="00"/>
    <w:family w:val="swiss"/>
    <w:pitch w:val="variable"/>
  </w:font>
  <w:font w:name="Georgia">
    <w:charset w:val="00"/>
    <w:family w:val="roman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  <w:font w:name="Calibri">
    <w:charset w:val="01"/>
    <w:family w:val="swiss"/>
    <w:pitch w:val="variable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0" distT="0" distB="0" distL="0" distR="0" simplePos="0" locked="0" layoutInCell="0" allowOverlap="1" relativeHeight="5">
          <wp:simplePos x="0" y="0"/>
          <wp:positionH relativeFrom="column">
            <wp:align>center</wp:align>
          </wp:positionH>
          <wp:positionV relativeFrom="paragraph">
            <wp:posOffset>-476250</wp:posOffset>
          </wp:positionV>
          <wp:extent cx="6521450" cy="752475"/>
          <wp:effectExtent l="0" t="0" r="0" b="0"/>
          <wp:wrapSquare wrapText="largest"/>
          <wp:docPr id="1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2145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0" distT="0" distB="0" distL="0" distR="0" simplePos="0" locked="0" layoutInCell="0" allowOverlap="1" relativeHeight="5">
          <wp:simplePos x="0" y="0"/>
          <wp:positionH relativeFrom="column">
            <wp:align>center</wp:align>
          </wp:positionH>
          <wp:positionV relativeFrom="paragraph">
            <wp:posOffset>-476250</wp:posOffset>
          </wp:positionV>
          <wp:extent cx="6521450" cy="752475"/>
          <wp:effectExtent l="0" t="0" r="0" b="0"/>
          <wp:wrapSquare wrapText="largest"/>
          <wp:docPr id="2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2145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3">
    <w:lvl w:ilvl="0">
      <w:start w:val="1"/>
      <w:numFmt w:val="bullet"/>
      <w:lvlText w:val="−"/>
      <w:lvlJc w:val="left"/>
      <w:pPr>
        <w:tabs>
          <w:tab w:val="num" w:pos="0"/>
        </w:tabs>
        <w:ind w:left="90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0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2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62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426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6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unhideWhenUsed/>
    <w:qFormat/>
    <w:rPr>
      <w:sz w:val="18"/>
      <w:szCs w:val="18"/>
    </w:rPr>
  </w:style>
  <w:style w:type="character" w:styleId="IntestazioneCarattere" w:customStyle="1">
    <w:name w:val="Intestazione Carattere"/>
    <w:basedOn w:val="DefaultParagraphFont"/>
    <w:uiPriority w:val="99"/>
    <w:qFormat/>
    <w:rPr/>
  </w:style>
  <w:style w:type="character" w:styleId="Riferimentodelicato1" w:customStyle="1">
    <w:name w:val="Riferimento delicato1"/>
    <w:basedOn w:val="DefaultParagraphFont"/>
    <w:uiPriority w:val="31"/>
    <w:qFormat/>
    <w:rPr>
      <w:smallCaps/>
      <w:color w:themeColor="text1" w:themeTint="a6" w:val="595959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PidipaginaCarattere" w:customStyle="1">
    <w:name w:val="Piè di pagina Carattere"/>
    <w:basedOn w:val="DefaultParagraphFont"/>
    <w:uiPriority w:val="99"/>
    <w:qFormat/>
    <w:rPr/>
  </w:style>
  <w:style w:type="character" w:styleId="TestocommentoCarattere" w:customStyle="1">
    <w:name w:val="Testo commento Carattere"/>
    <w:basedOn w:val="DefaultParagraphFont"/>
    <w:uiPriority w:val="99"/>
    <w:qFormat/>
    <w:rPr>
      <w:rFonts w:ascii="Times New Roman" w:hAnsi="Times New Roman" w:eastAsia="SimSun" w:cs="Times New Roman"/>
      <w:lang w:val="en-US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Pr>
      <w:rFonts w:ascii="Times New Roman" w:hAnsi="Times New Roman" w:eastAsia="SimSun" w:cs="Times New Roman"/>
      <w:b/>
      <w:bCs/>
      <w:sz w:val="20"/>
      <w:szCs w:val="20"/>
      <w:lang w:val="en-US"/>
    </w:rPr>
  </w:style>
  <w:style w:type="character" w:styleId="Carpredefinitoparagrafo1" w:customStyle="1">
    <w:name w:val="Car. predefinito paragrafo1"/>
    <w:qFormat/>
    <w:rsid w:val="002f08f9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TestofumettoCarattere"/>
    <w:uiPriority w:val="99"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TestocommentoCarattere"/>
    <w:uiPriority w:val="99"/>
    <w:unhideWhenUsed/>
    <w:pPr>
      <w:widowControl w:val="false"/>
    </w:pPr>
    <w:rPr>
      <w:rFonts w:ascii="Times New Roman" w:hAnsi="Times New Roman" w:eastAsia="SimSun" w:cs="Times New Roman"/>
      <w:lang w:val="en-US"/>
    </w:rPr>
  </w:style>
  <w:style w:type="paragraph" w:styleId="annotationsubject">
    <w:name w:val="annotation subject"/>
    <w:basedOn w:val="CommentText"/>
    <w:next w:val="CommentText"/>
    <w:link w:val="SoggettocommentoCarattere"/>
    <w:uiPriority w:val="99"/>
    <w:unhideWhenUsed/>
    <w:qFormat/>
    <w:pPr>
      <w:widowControl/>
      <w:spacing w:lineRule="auto" w:line="240"/>
    </w:pPr>
    <w:rPr>
      <w:rFonts w:ascii="Calibri" w:hAnsi="Calibri" w:eastAsia="Calibri" w:cs="" w:asciiTheme="minorHAnsi" w:cstheme="minorBidi" w:eastAsiaTheme="minorHAnsi" w:hAnsiTheme="minorHAnsi"/>
      <w:b/>
      <w:bCs/>
      <w:sz w:val="20"/>
      <w:szCs w:val="20"/>
      <w:lang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Footer">
    <w:name w:val="footer"/>
    <w:basedOn w:val="Normal"/>
    <w:link w:val="PidipaginaCarattere"/>
    <w:uiPriority w:val="99"/>
    <w:unhideWhenUsed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Header">
    <w:name w:val="header"/>
    <w:basedOn w:val="Normal"/>
    <w:link w:val="IntestazioneCarattere"/>
    <w:unhideWhenUsed/>
    <w:qFormat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aragrafoelenco1" w:customStyle="1">
    <w:name w:val="Paragrafo elenco1"/>
    <w:basedOn w:val="Normal"/>
    <w:uiPriority w:val="34"/>
    <w:qFormat/>
    <w:pPr>
      <w:spacing w:lineRule="auto" w:line="240" w:before="0" w:after="0"/>
      <w:ind w:left="720"/>
      <w:contextualSpacing/>
    </w:pPr>
    <w:rPr>
      <w:rFonts w:cs="Times New Roman"/>
    </w:rPr>
  </w:style>
  <w:style w:type="paragraph" w:styleId="Paragrafoelenco11" w:customStyle="1">
    <w:name w:val="Paragrafo elenco11"/>
    <w:basedOn w:val="Normal"/>
    <w:qFormat/>
    <w:pPr>
      <w:widowControl w:val="false"/>
      <w:numPr>
        <w:ilvl w:val="0"/>
        <w:numId w:val="1"/>
      </w:numPr>
      <w:spacing w:before="0" w:after="200"/>
      <w:contextualSpacing/>
    </w:pPr>
    <w:rPr>
      <w:rFonts w:ascii="Times New Roman" w:hAnsi="Times New Roman" w:eastAsia="SimSun" w:cs="Times New Roman"/>
      <w:lang w:val="en-US"/>
    </w:rPr>
  </w:style>
  <w:style w:type="paragraph" w:styleId="Style8" w:customStyle="1">
    <w:name w:val="_Style 8"/>
    <w:basedOn w:val="Normal"/>
    <w:uiPriority w:val="34"/>
    <w:qFormat/>
    <w:pPr>
      <w:widowControl w:val="false"/>
      <w:spacing w:before="0" w:after="200"/>
      <w:ind w:left="720"/>
      <w:contextualSpacing/>
    </w:pPr>
    <w:rPr>
      <w:rFonts w:ascii="Times New Roman" w:hAnsi="Times New Roman" w:eastAsia="SimSun" w:cs="Times New Roman"/>
      <w:lang w:val="en-US"/>
    </w:rPr>
  </w:style>
  <w:style w:type="paragraph" w:styleId="Normale1" w:customStyle="1">
    <w:name w:val="Normale1"/>
    <w:qFormat/>
    <w:rsid w:val="002f08f9"/>
    <w:pPr>
      <w:widowControl/>
      <w:suppressAutoHyphens w:val="true"/>
      <w:bidi w:val="0"/>
      <w:spacing w:lineRule="auto" w:line="276" w:before="0" w:after="120"/>
      <w:jc w:val="both"/>
      <w:textAlignment w:val="baseline"/>
    </w:pPr>
    <w:rPr>
      <w:rFonts w:ascii="Tw Cen MT" w:hAnsi="Tw Cen MT" w:eastAsia="Tw Cen MT" w:cs="Tw Cen MT"/>
      <w:color w:val="auto"/>
      <w:kern w:val="2"/>
      <w:sz w:val="24"/>
      <w:szCs w:val="24"/>
      <w:lang w:val="it-IT" w:eastAsia="zh-CN" w:bidi="hi-IN"/>
    </w:rPr>
  </w:style>
  <w:style w:type="paragraph" w:styleId="Revision">
    <w:name w:val="Revision"/>
    <w:uiPriority w:val="99"/>
    <w:semiHidden/>
    <w:qFormat/>
    <w:rsid w:val="003139a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en-US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d1c23"/>
    <w:pPr>
      <w:spacing w:before="0" w:after="200"/>
      <w:ind w:lef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EzexWrlkl4Yxx3waIPQjXMJoz9Q==">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LibreOffice/25.2.3.2$Windows_X86_64 LibreOffice_project/bbb074479178df812d175f709636b368952c2ce3</Application>
  <AppVersion>15.0000</AppVersion>
  <Pages>4</Pages>
  <Words>1126</Words>
  <Characters>6522</Characters>
  <CharactersWithSpaces>7680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2019-02-08T06:26:00Z</dcterms:created>
  <dc:creator>Marina Matucci</dc:creator>
  <dc:description/>
  <dc:language>it-IT</dc:language>
  <cp:lastModifiedBy/>
  <dcterms:modified xsi:type="dcterms:W3CDTF">2026-10-09T09:18:13Z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